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E9E9" w14:textId="478D0B80" w:rsidR="00E56EB8" w:rsidRDefault="00E56EB8" w:rsidP="00E56EB8">
      <w:pPr>
        <w:jc w:val="center"/>
        <w:rPr>
          <w:b/>
          <w:bCs/>
          <w:sz w:val="32"/>
          <w:szCs w:val="28"/>
          <w:lang w:val="en-US"/>
        </w:rPr>
      </w:pPr>
      <w:r w:rsidRPr="00E56EB8">
        <w:rPr>
          <w:b/>
          <w:bCs/>
          <w:sz w:val="32"/>
          <w:szCs w:val="28"/>
          <w:lang w:val="en-US"/>
        </w:rPr>
        <w:t>GREEN BUDGET STATEMENT STRUCTURE</w:t>
      </w:r>
    </w:p>
    <w:p w14:paraId="4FC2F6BC" w14:textId="77777777" w:rsidR="003F0C9E" w:rsidRDefault="003F0C9E" w:rsidP="003F0C9E">
      <w:pPr>
        <w:rPr>
          <w:lang w:val="en-US"/>
        </w:rPr>
      </w:pPr>
    </w:p>
    <w:p w14:paraId="31B86D7F" w14:textId="55FFC204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[1] </w:t>
      </w:r>
      <w:r w:rsidRPr="00E56EB8">
        <w:rPr>
          <w:b/>
          <w:bCs/>
          <w:lang w:val="en-US"/>
        </w:rPr>
        <w:t>Cover Page</w:t>
      </w:r>
    </w:p>
    <w:p w14:paraId="057D020D" w14:textId="4A1A86F7" w:rsidR="00E56EB8" w:rsidRPr="00E56EB8" w:rsidRDefault="002F18E5" w:rsidP="00E56EB8">
      <w:pPr>
        <w:rPr>
          <w:lang w:val="en-US"/>
        </w:rPr>
      </w:pPr>
      <w:r>
        <w:rPr>
          <w:lang w:val="en-US"/>
        </w:rPr>
        <w:t>The</w:t>
      </w:r>
      <w:r w:rsidR="00F16AFC">
        <w:rPr>
          <w:lang w:val="en-US"/>
        </w:rPr>
        <w:t xml:space="preserve"> cover page </w:t>
      </w:r>
      <w:r>
        <w:rPr>
          <w:lang w:val="en-US"/>
        </w:rPr>
        <w:t xml:space="preserve">can be a representation </w:t>
      </w:r>
      <w:r w:rsidR="00E56EB8" w:rsidRPr="00E56EB8">
        <w:rPr>
          <w:lang w:val="en-US"/>
        </w:rPr>
        <w:t>of environment</w:t>
      </w:r>
      <w:r>
        <w:rPr>
          <w:lang w:val="en-US"/>
        </w:rPr>
        <w:t>al</w:t>
      </w:r>
      <w:r w:rsidR="00E56EB8" w:rsidRPr="00E56EB8">
        <w:rPr>
          <w:lang w:val="en-US"/>
        </w:rPr>
        <w:t xml:space="preserve"> and cultural </w:t>
      </w:r>
      <w:proofErr w:type="gramStart"/>
      <w:r w:rsidR="00E56EB8" w:rsidRPr="00E56EB8">
        <w:rPr>
          <w:lang w:val="en-US"/>
        </w:rPr>
        <w:t>significance</w:t>
      </w:r>
      <w:proofErr w:type="gramEnd"/>
      <w:r w:rsidR="00E56EB8" w:rsidRPr="00E56EB8">
        <w:rPr>
          <w:lang w:val="en-US"/>
        </w:rPr>
        <w:t xml:space="preserve"> the '</w:t>
      </w:r>
      <w:r w:rsidR="00F16AFC">
        <w:rPr>
          <w:lang w:val="en-US"/>
        </w:rPr>
        <w:t>g</w:t>
      </w:r>
      <w:r w:rsidR="00E56EB8" w:rsidRPr="00E56EB8">
        <w:rPr>
          <w:lang w:val="en-US"/>
        </w:rPr>
        <w:t>reen' concept</w:t>
      </w:r>
      <w:r>
        <w:rPr>
          <w:lang w:val="en-US"/>
        </w:rPr>
        <w:t xml:space="preserve"> of the government.</w:t>
      </w:r>
    </w:p>
    <w:p w14:paraId="66A72D82" w14:textId="77777777" w:rsidR="00E56EB8" w:rsidRDefault="00E56EB8" w:rsidP="00E56EB8">
      <w:pPr>
        <w:rPr>
          <w:lang w:val="en-US"/>
        </w:rPr>
      </w:pPr>
    </w:p>
    <w:p w14:paraId="69321FC1" w14:textId="1328BBF8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[2] </w:t>
      </w:r>
      <w:r w:rsidRPr="00E56EB8">
        <w:rPr>
          <w:b/>
          <w:bCs/>
          <w:lang w:val="en-US"/>
        </w:rPr>
        <w:t>Preface</w:t>
      </w:r>
    </w:p>
    <w:p w14:paraId="27C46F30" w14:textId="317545EC" w:rsidR="00E56EB8" w:rsidRPr="00E56EB8" w:rsidRDefault="00E56EB8" w:rsidP="00E56EB8">
      <w:pPr>
        <w:rPr>
          <w:lang w:val="en-US"/>
        </w:rPr>
      </w:pPr>
      <w:r>
        <w:rPr>
          <w:lang w:val="en-US"/>
        </w:rPr>
        <w:t xml:space="preserve">This section can outline the government’s </w:t>
      </w:r>
      <w:r w:rsidRPr="00E56EB8">
        <w:rPr>
          <w:lang w:val="en-US"/>
        </w:rPr>
        <w:t xml:space="preserve">commitment and vision for </w:t>
      </w:r>
      <w:r w:rsidR="002F18E5" w:rsidRPr="00E56EB8">
        <w:rPr>
          <w:lang w:val="en-US"/>
        </w:rPr>
        <w:t>green budgeting</w:t>
      </w:r>
      <w:r w:rsidR="002F18E5">
        <w:rPr>
          <w:lang w:val="en-US"/>
        </w:rPr>
        <w:t>.</w:t>
      </w:r>
    </w:p>
    <w:p w14:paraId="648D335E" w14:textId="77777777" w:rsidR="00E56EB8" w:rsidRDefault="00E56EB8" w:rsidP="00E56EB8">
      <w:pPr>
        <w:rPr>
          <w:b/>
          <w:bCs/>
          <w:lang w:val="en-US"/>
        </w:rPr>
      </w:pPr>
    </w:p>
    <w:p w14:paraId="35EA3C56" w14:textId="0D2CA051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[3] </w:t>
      </w:r>
      <w:r w:rsidRPr="00E56EB8">
        <w:rPr>
          <w:b/>
          <w:bCs/>
          <w:lang w:val="en-US"/>
        </w:rPr>
        <w:t>Introduction</w:t>
      </w:r>
    </w:p>
    <w:p w14:paraId="7619760C" w14:textId="5C7ACFCB" w:rsidR="00E56EB8" w:rsidRPr="00E56EB8" w:rsidRDefault="00E56EB8" w:rsidP="00E56EB8">
      <w:pPr>
        <w:rPr>
          <w:lang w:val="en-US"/>
        </w:rPr>
      </w:pPr>
      <w:r w:rsidRPr="00E56EB8">
        <w:rPr>
          <w:lang w:val="en-US"/>
        </w:rPr>
        <w:t xml:space="preserve">The concept of green and rationale for </w:t>
      </w:r>
      <w:r>
        <w:rPr>
          <w:lang w:val="en-US"/>
        </w:rPr>
        <w:t xml:space="preserve">green </w:t>
      </w:r>
      <w:r w:rsidRPr="00E56EB8">
        <w:rPr>
          <w:lang w:val="en-US"/>
        </w:rPr>
        <w:t>budgeting</w:t>
      </w:r>
      <w:r w:rsidR="002F18E5">
        <w:rPr>
          <w:lang w:val="en-US"/>
        </w:rPr>
        <w:t xml:space="preserve"> can be </w:t>
      </w:r>
      <w:r w:rsidR="00581B8C">
        <w:rPr>
          <w:lang w:val="en-US"/>
        </w:rPr>
        <w:t>described here.</w:t>
      </w:r>
    </w:p>
    <w:p w14:paraId="210CE600" w14:textId="77777777" w:rsidR="00E56EB8" w:rsidRDefault="00E56EB8" w:rsidP="00E56EB8">
      <w:pPr>
        <w:rPr>
          <w:b/>
          <w:bCs/>
          <w:lang w:val="en-US"/>
        </w:rPr>
      </w:pPr>
    </w:p>
    <w:p w14:paraId="49D29D26" w14:textId="40D0297A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[4] </w:t>
      </w:r>
      <w:r w:rsidRPr="00E56EB8">
        <w:rPr>
          <w:b/>
          <w:bCs/>
          <w:lang w:val="en-US"/>
        </w:rPr>
        <w:t>Approach and Method</w:t>
      </w:r>
    </w:p>
    <w:p w14:paraId="2FE39F23" w14:textId="0CD408A9" w:rsidR="00E56EB8" w:rsidRPr="00E56EB8" w:rsidRDefault="00E56EB8" w:rsidP="00E56EB8">
      <w:pPr>
        <w:rPr>
          <w:lang w:val="en-US"/>
        </w:rPr>
      </w:pPr>
      <w:r>
        <w:rPr>
          <w:lang w:val="en-US"/>
        </w:rPr>
        <w:t xml:space="preserve">In this section, the </w:t>
      </w:r>
      <w:r w:rsidRPr="00E56EB8">
        <w:rPr>
          <w:lang w:val="en-US"/>
        </w:rPr>
        <w:t xml:space="preserve">approach and method along with limitations </w:t>
      </w:r>
      <w:r w:rsidR="00581B8C">
        <w:rPr>
          <w:lang w:val="en-US"/>
        </w:rPr>
        <w:t xml:space="preserve">can be </w:t>
      </w:r>
      <w:r w:rsidR="00581B8C" w:rsidRPr="00E56EB8">
        <w:rPr>
          <w:lang w:val="en-US"/>
        </w:rPr>
        <w:t>explained</w:t>
      </w:r>
      <w:r w:rsidR="00581B8C">
        <w:rPr>
          <w:lang w:val="en-US"/>
        </w:rPr>
        <w:t>.</w:t>
      </w:r>
    </w:p>
    <w:p w14:paraId="151AD32D" w14:textId="77777777" w:rsidR="00E56EB8" w:rsidRDefault="00E56EB8" w:rsidP="00E56EB8">
      <w:pPr>
        <w:rPr>
          <w:b/>
          <w:bCs/>
          <w:lang w:val="en-US"/>
        </w:rPr>
      </w:pPr>
    </w:p>
    <w:p w14:paraId="4A5CBD82" w14:textId="313F5C33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[5] </w:t>
      </w:r>
      <w:r w:rsidRPr="00E56EB8">
        <w:rPr>
          <w:b/>
          <w:bCs/>
          <w:lang w:val="en-US"/>
        </w:rPr>
        <w:t>Key Achievements and Case Studies</w:t>
      </w:r>
    </w:p>
    <w:p w14:paraId="62DEFC1E" w14:textId="04D51E8C" w:rsidR="00E56EB8" w:rsidRPr="00E56EB8" w:rsidRDefault="00E56EB8" w:rsidP="00E56EB8">
      <w:pPr>
        <w:rPr>
          <w:lang w:val="en-US"/>
        </w:rPr>
      </w:pPr>
      <w:r w:rsidRPr="00E56EB8">
        <w:rPr>
          <w:lang w:val="en-US"/>
        </w:rPr>
        <w:t>Financial and descriptive analysis including any physical achievements along with case studies in box items</w:t>
      </w:r>
      <w:r w:rsidR="00581B8C">
        <w:rPr>
          <w:lang w:val="en-US"/>
        </w:rPr>
        <w:t xml:space="preserve"> can be included in this section.</w:t>
      </w:r>
    </w:p>
    <w:p w14:paraId="379C98A9" w14:textId="77777777" w:rsidR="00E56EB8" w:rsidRDefault="00E56EB8" w:rsidP="00E56EB8">
      <w:pPr>
        <w:rPr>
          <w:b/>
          <w:bCs/>
          <w:lang w:val="en-US"/>
        </w:rPr>
      </w:pPr>
    </w:p>
    <w:p w14:paraId="1F7AE736" w14:textId="5108139A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[6] Green Budget Summary </w:t>
      </w:r>
    </w:p>
    <w:p w14:paraId="3F93917C" w14:textId="48331F01" w:rsidR="00E56EB8" w:rsidRDefault="00E56EB8" w:rsidP="00E56EB8">
      <w:pPr>
        <w:rPr>
          <w:lang w:val="en-US"/>
        </w:rPr>
      </w:pPr>
      <w:r>
        <w:rPr>
          <w:lang w:val="en-US"/>
        </w:rPr>
        <w:t>Here a simple tabulation giving the bi</w:t>
      </w:r>
      <w:r w:rsidR="00581B8C">
        <w:rPr>
          <w:lang w:val="en-US"/>
        </w:rPr>
        <w:t>g</w:t>
      </w:r>
      <w:r>
        <w:rPr>
          <w:lang w:val="en-US"/>
        </w:rPr>
        <w:t xml:space="preserve"> picture can be added. </w:t>
      </w:r>
      <w:r w:rsidR="005963C8">
        <w:rPr>
          <w:lang w:val="en-US"/>
        </w:rPr>
        <w:t xml:space="preserve">Baseline indicators can be considered. </w:t>
      </w:r>
      <w:r>
        <w:rPr>
          <w:lang w:val="en-US"/>
        </w:rPr>
        <w:t xml:space="preserve">This </w:t>
      </w:r>
      <w:r w:rsidR="00CB279E">
        <w:rPr>
          <w:lang w:val="en-US"/>
        </w:rPr>
        <w:t xml:space="preserve">could </w:t>
      </w:r>
      <w:r>
        <w:rPr>
          <w:lang w:val="en-US"/>
        </w:rPr>
        <w:t xml:space="preserve">include </w:t>
      </w:r>
      <w:r w:rsidRPr="00E56EB8">
        <w:rPr>
          <w:lang w:val="en-US"/>
        </w:rPr>
        <w:t xml:space="preserve">total budget outlay, </w:t>
      </w:r>
      <w:r>
        <w:rPr>
          <w:lang w:val="en-US"/>
        </w:rPr>
        <w:t xml:space="preserve">total green budget, </w:t>
      </w:r>
      <w:r w:rsidRPr="00E56EB8">
        <w:rPr>
          <w:lang w:val="en-US"/>
        </w:rPr>
        <w:t>percentage of green budget from the total identified scheme/programmes</w:t>
      </w:r>
      <w:r w:rsidR="005963C8">
        <w:rPr>
          <w:lang w:val="en-US"/>
        </w:rPr>
        <w:t>, number of schemes, and number of departments</w:t>
      </w:r>
      <w:r>
        <w:rPr>
          <w:lang w:val="en-US"/>
        </w:rPr>
        <w:t xml:space="preserve">. Information can be provided for the present and previous financial year/s. </w:t>
      </w:r>
    </w:p>
    <w:p w14:paraId="5450130B" w14:textId="77777777" w:rsidR="00E56EB8" w:rsidRDefault="00E56EB8" w:rsidP="00E56EB8">
      <w:pPr>
        <w:rPr>
          <w:b/>
          <w:bCs/>
          <w:lang w:val="en-US"/>
        </w:rPr>
      </w:pPr>
    </w:p>
    <w:p w14:paraId="594854A9" w14:textId="642FC7E0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[7] </w:t>
      </w:r>
      <w:r w:rsidRPr="00E56EB8">
        <w:rPr>
          <w:b/>
          <w:bCs/>
          <w:lang w:val="en-US"/>
        </w:rPr>
        <w:t xml:space="preserve">Mapping Schemes  </w:t>
      </w:r>
    </w:p>
    <w:p w14:paraId="46E4B1FC" w14:textId="21820D8F" w:rsidR="00E56EB8" w:rsidRPr="00E56EB8" w:rsidRDefault="00581B8C" w:rsidP="00E56EB8">
      <w:pPr>
        <w:rPr>
          <w:lang w:val="en-US"/>
        </w:rPr>
      </w:pPr>
      <w:r>
        <w:rPr>
          <w:lang w:val="en-US"/>
        </w:rPr>
        <w:t>Here graphical representation of ministry/ department mapping, a</w:t>
      </w:r>
      <w:r w:rsidR="00E56EB8" w:rsidRPr="00E56EB8">
        <w:rPr>
          <w:lang w:val="en-US"/>
        </w:rPr>
        <w:t xml:space="preserve">ctivity mapping, theme mapping and SDG tagging </w:t>
      </w:r>
      <w:r w:rsidR="00795EB0">
        <w:rPr>
          <w:lang w:val="en-US"/>
        </w:rPr>
        <w:t>of green budget can be depicted.</w:t>
      </w:r>
    </w:p>
    <w:p w14:paraId="5D239A1C" w14:textId="77777777" w:rsidR="00E56EB8" w:rsidRDefault="00E56EB8" w:rsidP="00E56EB8">
      <w:pPr>
        <w:rPr>
          <w:b/>
          <w:bCs/>
          <w:lang w:val="en-US"/>
        </w:rPr>
      </w:pPr>
    </w:p>
    <w:p w14:paraId="4E8CDB2D" w14:textId="59C58047" w:rsidR="00E56EB8" w:rsidRPr="00E56EB8" w:rsidRDefault="00E56EB8" w:rsidP="003F0C9E">
      <w:pPr>
        <w:spacing w:after="120"/>
        <w:rPr>
          <w:b/>
          <w:bCs/>
          <w:lang w:val="en-US"/>
        </w:rPr>
      </w:pPr>
      <w:r>
        <w:rPr>
          <w:b/>
          <w:bCs/>
          <w:lang w:val="en-US"/>
        </w:rPr>
        <w:t xml:space="preserve">[8] </w:t>
      </w:r>
      <w:r w:rsidRPr="00E56EB8">
        <w:rPr>
          <w:b/>
          <w:bCs/>
          <w:lang w:val="en-US"/>
        </w:rPr>
        <w:t xml:space="preserve">Annexures  </w:t>
      </w:r>
    </w:p>
    <w:p w14:paraId="212777D7" w14:textId="04929BD4" w:rsidR="00E56EB8" w:rsidRDefault="00795EB0">
      <w:r>
        <w:rPr>
          <w:lang w:val="en-US"/>
        </w:rPr>
        <w:t>The annexures will include t</w:t>
      </w:r>
      <w:r w:rsidR="00E56EB8" w:rsidRPr="00E56EB8">
        <w:rPr>
          <w:lang w:val="en-US"/>
        </w:rPr>
        <w:t xml:space="preserve">abulation of various budget items including </w:t>
      </w:r>
      <w:r w:rsidR="00E56EB8">
        <w:rPr>
          <w:lang w:val="en-US"/>
        </w:rPr>
        <w:t xml:space="preserve">ministry/ </w:t>
      </w:r>
      <w:r w:rsidR="00E56EB8" w:rsidRPr="00E56EB8">
        <w:rPr>
          <w:lang w:val="en-US"/>
        </w:rPr>
        <w:t>department name, code, scheme name, scheme budget, green budget component and descriptive summary</w:t>
      </w:r>
      <w:r w:rsidR="00E56EB8">
        <w:rPr>
          <w:lang w:val="en-US"/>
        </w:rPr>
        <w:t xml:space="preserve">. </w:t>
      </w:r>
      <w:r w:rsidR="00A422DF">
        <w:rPr>
          <w:lang w:val="en-US"/>
        </w:rPr>
        <w:t>Mapping can be undertaken according to the proforma</w:t>
      </w:r>
      <w:r w:rsidR="00E56EB8">
        <w:rPr>
          <w:lang w:val="en-US"/>
        </w:rPr>
        <w:t>.</w:t>
      </w:r>
    </w:p>
    <w:sectPr w:rsidR="00E56E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A782" w14:textId="77777777" w:rsidR="00725675" w:rsidRDefault="00725675" w:rsidP="00E56EB8">
      <w:pPr>
        <w:spacing w:after="0" w:line="240" w:lineRule="auto"/>
      </w:pPr>
      <w:r>
        <w:separator/>
      </w:r>
    </w:p>
  </w:endnote>
  <w:endnote w:type="continuationSeparator" w:id="0">
    <w:p w14:paraId="462CC463" w14:textId="77777777" w:rsidR="00725675" w:rsidRDefault="00725675" w:rsidP="00E5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F8" w14:textId="1001D39E" w:rsidR="00E56EB8" w:rsidRPr="00E56EB8" w:rsidRDefault="00E56EB8" w:rsidP="00E56EB8">
    <w:pPr>
      <w:pStyle w:val="Footer"/>
      <w:jc w:val="center"/>
      <w:rPr>
        <w:i/>
        <w:iCs/>
        <w:color w:val="7F7F7F" w:themeColor="text1" w:themeTint="80"/>
      </w:rPr>
    </w:pPr>
    <w:r w:rsidRPr="00E56EB8">
      <w:rPr>
        <w:i/>
        <w:iCs/>
        <w:color w:val="7F7F7F" w:themeColor="text1" w:themeTint="80"/>
      </w:rPr>
      <w:t xml:space="preserve">Note: This structure is illustrative only and </w:t>
    </w:r>
    <w:r w:rsidR="005963C8">
      <w:rPr>
        <w:i/>
        <w:iCs/>
        <w:color w:val="7F7F7F" w:themeColor="text1" w:themeTint="80"/>
      </w:rPr>
      <w:t xml:space="preserve">stakeholders </w:t>
    </w:r>
    <w:r w:rsidRPr="00E56EB8">
      <w:rPr>
        <w:i/>
        <w:iCs/>
        <w:color w:val="7F7F7F" w:themeColor="text1" w:themeTint="80"/>
      </w:rPr>
      <w:t>can further innovate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4334" w14:textId="77777777" w:rsidR="00725675" w:rsidRDefault="00725675" w:rsidP="00E56EB8">
      <w:pPr>
        <w:spacing w:after="0" w:line="240" w:lineRule="auto"/>
      </w:pPr>
      <w:r>
        <w:separator/>
      </w:r>
    </w:p>
  </w:footnote>
  <w:footnote w:type="continuationSeparator" w:id="0">
    <w:p w14:paraId="3598E986" w14:textId="77777777" w:rsidR="00725675" w:rsidRDefault="00725675" w:rsidP="00E5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E6CB0"/>
    <w:multiLevelType w:val="hybridMultilevel"/>
    <w:tmpl w:val="CBB09900"/>
    <w:lvl w:ilvl="0" w:tplc="FC98D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AE0B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C6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04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8A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0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52A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CD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CA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5382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B8"/>
    <w:rsid w:val="002F18E5"/>
    <w:rsid w:val="003F0C9E"/>
    <w:rsid w:val="00444DB5"/>
    <w:rsid w:val="00565A7E"/>
    <w:rsid w:val="00581B8C"/>
    <w:rsid w:val="005963C8"/>
    <w:rsid w:val="00725675"/>
    <w:rsid w:val="00795EB0"/>
    <w:rsid w:val="00863859"/>
    <w:rsid w:val="00A422DF"/>
    <w:rsid w:val="00B05644"/>
    <w:rsid w:val="00CB279E"/>
    <w:rsid w:val="00E56EB8"/>
    <w:rsid w:val="00F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E94C"/>
  <w15:chartTrackingRefBased/>
  <w15:docId w15:val="{3C7E6230-3B37-48BC-A04F-A7843CDC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EB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EB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56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E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6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8F92-1481-4DF6-B25E-98083C87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1239</Characters>
  <Application>Microsoft Office Word</Application>
  <DocSecurity>0</DocSecurity>
  <Lines>34</Lines>
  <Paragraphs>20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Shailly Kedia</dc:creator>
  <cp:keywords/>
  <dc:description/>
  <cp:lastModifiedBy>Shailly Kedia</cp:lastModifiedBy>
  <cp:revision>11</cp:revision>
  <dcterms:created xsi:type="dcterms:W3CDTF">2022-12-20T16:26:00Z</dcterms:created>
  <dcterms:modified xsi:type="dcterms:W3CDTF">2025-09-24T07:01:00Z</dcterms:modified>
</cp:coreProperties>
</file>